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rPr>
          <w:rFonts w:hint="eastAsia" w:ascii="宋体" w:hAnsi="宋体"/>
          <w:b/>
        </w:rPr>
      </w:pPr>
      <w:r>
        <w:rPr>
          <w:rFonts w:hint="eastAsia" w:ascii="宋体" w:hAnsi="宋体"/>
          <w:b/>
        </w:rPr>
        <w:t>附件一：</w:t>
      </w:r>
    </w:p>
    <w:p>
      <w:pPr>
        <w:jc w:val="center"/>
        <w:rPr>
          <w:rFonts w:hint="eastAsia" w:ascii="宋体" w:hAnsi="宋体"/>
          <w:b/>
          <w:sz w:val="32"/>
          <w:szCs w:val="32"/>
        </w:rPr>
      </w:pPr>
      <w:r>
        <w:rPr>
          <w:rFonts w:hint="eastAsia" w:ascii="宋体" w:hAnsi="宋体"/>
          <w:b/>
          <w:sz w:val="32"/>
          <w:szCs w:val="32"/>
        </w:rPr>
        <w:t>自治区本级每年门</w:t>
      </w:r>
      <w:bookmarkStart w:id="0" w:name="_GoBack"/>
      <w:bookmarkEnd w:id="0"/>
      <w:r>
        <w:rPr>
          <w:rFonts w:hint="eastAsia" w:ascii="宋体" w:hAnsi="宋体"/>
          <w:b/>
          <w:sz w:val="32"/>
          <w:szCs w:val="32"/>
        </w:rPr>
        <w:t>诊特殊慢性病病种</w:t>
      </w:r>
    </w:p>
    <w:tbl>
      <w:tblPr>
        <w:tblStyle w:val="3"/>
        <w:tblW w:w="7560" w:type="dxa"/>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4349"/>
        <w:gridCol w:w="2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b/>
                <w:sz w:val="24"/>
              </w:rPr>
            </w:pPr>
            <w:r>
              <w:rPr>
                <w:rFonts w:ascii="Adobe 仿宋 Std R" w:hAnsi="Adobe 仿宋 Std R"/>
                <w:b/>
                <w:sz w:val="24"/>
              </w:rPr>
              <w:t>序号</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b/>
                <w:sz w:val="24"/>
              </w:rPr>
            </w:pPr>
            <w:r>
              <w:rPr>
                <w:rFonts w:ascii="Adobe 仿宋 Std R" w:hAnsi="Adobe 仿宋 Std R"/>
                <w:b/>
                <w:sz w:val="24"/>
              </w:rPr>
              <w:t>疾病名称</w:t>
            </w:r>
          </w:p>
        </w:tc>
        <w:tc>
          <w:tcPr>
            <w:tcW w:w="2364"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b/>
                <w:sz w:val="24"/>
              </w:rPr>
            </w:pPr>
            <w:r>
              <w:rPr>
                <w:rFonts w:ascii="Adobe 仿宋 Std R" w:hAnsi="Adobe 仿宋 Std R"/>
                <w:b/>
                <w:sz w:val="24"/>
              </w:rPr>
              <w:t>支付限额（元/年）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慢性间质性肺疾病（未达到肺纤维化）</w:t>
            </w:r>
          </w:p>
        </w:tc>
        <w:tc>
          <w:tcPr>
            <w:tcW w:w="2364"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糖尿病</w:t>
            </w:r>
          </w:p>
        </w:tc>
        <w:tc>
          <w:tcPr>
            <w:tcW w:w="2364" w:type="dxa"/>
            <w:vMerge w:val="restart"/>
            <w:tcBorders>
              <w:top w:val="nil"/>
              <w:left w:val="nil"/>
              <w:bottom w:val="single" w:color="000000" w:sz="4" w:space="0"/>
              <w:right w:val="single" w:color="000000" w:sz="4" w:space="0"/>
            </w:tcBorders>
            <w:noWrap w:val="0"/>
            <w:vAlign w:val="center"/>
          </w:tcPr>
          <w:p>
            <w:pPr>
              <w:spacing w:line="500" w:lineRule="exact"/>
              <w:jc w:val="center"/>
              <w:rPr>
                <w:rFonts w:ascii="Adobe 仿宋 Std R" w:hAnsi="Adobe 仿宋 Std R"/>
                <w:sz w:val="24"/>
              </w:rPr>
            </w:pPr>
            <w:r>
              <w:rPr>
                <w:rFonts w:ascii="Adobe 仿宋 Std R" w:hAnsi="Adobe 仿宋 Std R"/>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3</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高血压</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4</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骨髓增殖性疾病</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5</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乙型和丙型病毒性肝炎</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6</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精神病</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7</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类风湿性关节炎</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8</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硬皮病</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9</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银屑病</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10</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阿尔兹海默症</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11</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强直性脊柱炎</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12</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干燥综合征</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13</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慢性阻塞性肺病</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14</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重症肌无力</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15</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心房颤动抗凝治疗</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16</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原发性骨质疏松症（65周岁以上）</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17</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慢性肾功能衰竭（氮质血症期、尿素症期）</w:t>
            </w:r>
          </w:p>
        </w:tc>
        <w:tc>
          <w:tcPr>
            <w:tcW w:w="2364" w:type="dxa"/>
            <w:vMerge w:val="restart"/>
            <w:tcBorders>
              <w:top w:val="nil"/>
              <w:left w:val="nil"/>
              <w:bottom w:val="single" w:color="000000" w:sz="4" w:space="0"/>
              <w:right w:val="single" w:color="000000" w:sz="4" w:space="0"/>
            </w:tcBorders>
            <w:noWrap w:val="0"/>
            <w:vAlign w:val="center"/>
          </w:tcPr>
          <w:p>
            <w:pPr>
              <w:spacing w:line="500" w:lineRule="exact"/>
              <w:jc w:val="center"/>
              <w:rPr>
                <w:rFonts w:ascii="Adobe 仿宋 Std R" w:hAnsi="Adobe 仿宋 Std R"/>
                <w:sz w:val="24"/>
              </w:rPr>
            </w:pPr>
            <w:r>
              <w:rPr>
                <w:rFonts w:ascii="Adobe 仿宋 Std R" w:hAnsi="Adobe 仿宋 Std R"/>
                <w:sz w:val="24"/>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18</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帕金森氏病</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19</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脑梗</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20</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再生障碍性贫血</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21</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皮肌炎</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22</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原发性胆</w:t>
            </w:r>
            <w:r>
              <w:rPr>
                <w:rFonts w:hint="eastAsia" w:ascii="Adobe 仿宋 Std R" w:hAnsi="Adobe 仿宋 Std R"/>
                <w:sz w:val="24"/>
              </w:rPr>
              <w:t>汁</w:t>
            </w:r>
            <w:r>
              <w:rPr>
                <w:rFonts w:ascii="Adobe 仿宋 Std R" w:hAnsi="Adobe 仿宋 Std R"/>
                <w:sz w:val="24"/>
              </w:rPr>
              <w:t>性胆管炎合并肝硬化</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23</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肝硬化肝功能失代偿期</w:t>
            </w:r>
          </w:p>
        </w:tc>
        <w:tc>
          <w:tcPr>
            <w:tcW w:w="2364" w:type="dxa"/>
            <w:vMerge w:val="restart"/>
            <w:tcBorders>
              <w:top w:val="nil"/>
              <w:left w:val="nil"/>
              <w:bottom w:val="single" w:color="000000" w:sz="4" w:space="0"/>
              <w:right w:val="single" w:color="000000" w:sz="4" w:space="0"/>
            </w:tcBorders>
            <w:noWrap w:val="0"/>
            <w:vAlign w:val="center"/>
          </w:tcPr>
          <w:p>
            <w:pPr>
              <w:spacing w:line="500" w:lineRule="exact"/>
              <w:jc w:val="center"/>
              <w:rPr>
                <w:rFonts w:ascii="Adobe 仿宋 Std R" w:hAnsi="Adobe 仿宋 Std R"/>
                <w:sz w:val="24"/>
              </w:rPr>
            </w:pPr>
            <w:r>
              <w:rPr>
                <w:rFonts w:ascii="Adobe 仿宋 Std R" w:hAnsi="Adobe 仿宋 Std R"/>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24</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系统性</w:t>
            </w:r>
            <w:r>
              <w:rPr>
                <w:rFonts w:hint="eastAsia" w:ascii="Adobe 仿宋 Std R" w:hAnsi="Adobe 仿宋 Std R"/>
                <w:sz w:val="24"/>
              </w:rPr>
              <w:t>红</w:t>
            </w:r>
            <w:r>
              <w:rPr>
                <w:rFonts w:ascii="Adobe 仿宋 Std R" w:hAnsi="Adobe 仿宋 Std R"/>
                <w:sz w:val="24"/>
              </w:rPr>
              <w:t>斑狼疮</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25</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肺纤维化</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26</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自身免疫性肝炎</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27</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多发性硬化症</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28</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原发性肾病综合征</w:t>
            </w:r>
          </w:p>
        </w:tc>
        <w:tc>
          <w:tcPr>
            <w:tcW w:w="2364" w:type="dxa"/>
            <w:vMerge w:val="continue"/>
            <w:tcBorders>
              <w:top w:val="nil"/>
              <w:left w:val="nil"/>
              <w:bottom w:val="single" w:color="000000" w:sz="4" w:space="0"/>
              <w:right w:val="single" w:color="000000" w:sz="4" w:space="0"/>
            </w:tcBorders>
            <w:noWrap w:val="0"/>
            <w:vAlign w:val="center"/>
          </w:tcPr>
          <w:p>
            <w:pPr>
              <w:widowControl/>
              <w:jc w:val="left"/>
              <w:rPr>
                <w:rFonts w:ascii="Adobe 仿宋 Std R" w:hAnsi="Adobe 仿宋 Std 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07"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Adobe 仿宋 Std R" w:hAnsi="Adobe 仿宋 Std R"/>
                <w:sz w:val="24"/>
              </w:rPr>
            </w:pPr>
            <w:r>
              <w:rPr>
                <w:rFonts w:ascii="Adobe 仿宋 Std R" w:hAnsi="Adobe 仿宋 Std R"/>
                <w:sz w:val="24"/>
              </w:rPr>
              <w:t>29</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中央型及混合型下肢深层静脉血栓复发需门诊长期使用利伐沙班药物治疗</w:t>
            </w:r>
          </w:p>
        </w:tc>
        <w:tc>
          <w:tcPr>
            <w:tcW w:w="2364" w:type="dxa"/>
            <w:tcBorders>
              <w:top w:val="single" w:color="000000" w:sz="4" w:space="0"/>
              <w:left w:val="nil"/>
              <w:bottom w:val="single" w:color="000000" w:sz="4" w:space="0"/>
              <w:right w:val="single" w:color="000000" w:sz="4" w:space="0"/>
            </w:tcBorders>
            <w:noWrap w:val="0"/>
            <w:vAlign w:val="center"/>
          </w:tcPr>
          <w:p>
            <w:pPr>
              <w:spacing w:line="500" w:lineRule="exact"/>
              <w:jc w:val="center"/>
              <w:rPr>
                <w:rFonts w:ascii="Adobe 仿宋 Std R" w:hAnsi="Adobe 仿宋 Std R"/>
                <w:sz w:val="24"/>
              </w:rPr>
            </w:pPr>
            <w:r>
              <w:rPr>
                <w:rFonts w:ascii="Adobe 仿宋 Std R" w:hAnsi="Adobe 仿宋 Std R"/>
                <w:sz w:val="24"/>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847" w:type="dxa"/>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30</w:t>
            </w:r>
          </w:p>
        </w:tc>
        <w:tc>
          <w:tcPr>
            <w:tcW w:w="4349"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血友病</w:t>
            </w:r>
          </w:p>
        </w:tc>
        <w:tc>
          <w:tcPr>
            <w:tcW w:w="2364" w:type="dxa"/>
            <w:tcBorders>
              <w:top w:val="single" w:color="000000" w:sz="4" w:space="0"/>
              <w:left w:val="nil"/>
              <w:bottom w:val="single" w:color="000000" w:sz="4" w:space="0"/>
              <w:right w:val="single" w:color="000000" w:sz="4" w:space="0"/>
            </w:tcBorders>
            <w:noWrap w:val="0"/>
            <w:vAlign w:val="top"/>
          </w:tcPr>
          <w:p>
            <w:pPr>
              <w:spacing w:line="500" w:lineRule="exact"/>
              <w:jc w:val="center"/>
              <w:rPr>
                <w:rFonts w:ascii="Adobe 仿宋 Std R" w:hAnsi="Adobe 仿宋 Std R"/>
                <w:sz w:val="24"/>
              </w:rPr>
            </w:pPr>
            <w:r>
              <w:rPr>
                <w:rFonts w:ascii="Adobe 仿宋 Std R" w:hAnsi="Adobe 仿宋 Std R"/>
                <w:sz w:val="24"/>
              </w:rPr>
              <w:t>8000</w:t>
            </w:r>
          </w:p>
        </w:tc>
      </w:tr>
    </w:tbl>
    <w:p>
      <w:pPr>
        <w:rPr>
          <w:rFonts w:hint="eastAsia"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仿宋 Std R">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C8"/>
    <w:rsid w:val="000907C3"/>
    <w:rsid w:val="003A79C8"/>
    <w:rsid w:val="00411A43"/>
    <w:rsid w:val="008D15F2"/>
    <w:rsid w:val="00B434AA"/>
    <w:rsid w:val="00EE42DB"/>
    <w:rsid w:val="1F485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 w:type="table" w:styleId="3">
    <w:name w:val="Table Grid"/>
    <w:basedOn w:val="2"/>
    <w:uiPriority w:val="0"/>
    <w:tblPr>
      <w:tblStyle w:val="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Pages>
  <Words>140</Words>
  <Characters>798</Characters>
  <Lines>6</Lines>
  <Paragraphs>1</Paragraphs>
  <TotalTime>3</TotalTime>
  <ScaleCrop>false</ScaleCrop>
  <LinksUpToDate>false</LinksUpToDate>
  <CharactersWithSpaces>937</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2019-09-18T08:05:00Z</dcterms:created>
  <dc:creator>兵临城下</dc:creator>
  <cp:lastModifiedBy>兵临城下</cp:lastModifiedBy>
  <dcterms:modified xsi:type="dcterms:W3CDTF">2019-09-19T02:10:58Z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