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3"/>
      </w:tblGrid>
      <w:tr w:rsidR="00A75177" w:rsidRPr="00A75177" w:rsidTr="00A75177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5177" w:rsidRPr="00A75177" w:rsidRDefault="00A75177" w:rsidP="00A75177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7517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关于开展2017年百千万人才工程国家级人选遴选推荐工作的通知</w:t>
            </w:r>
          </w:p>
        </w:tc>
      </w:tr>
    </w:tbl>
    <w:p w:rsidR="00A75177" w:rsidRPr="00713EBE" w:rsidRDefault="00A75177" w:rsidP="00A75177">
      <w:pPr>
        <w:widowControl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A75177" w:rsidRPr="00A75177" w:rsidTr="00A751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5177" w:rsidRPr="00A75177" w:rsidRDefault="00A75177" w:rsidP="00A75177">
            <w:pPr>
              <w:widowControl/>
              <w:spacing w:line="432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subject"/>
          </w:p>
          <w:p w:rsidR="00A75177" w:rsidRPr="00A75177" w:rsidRDefault="00A75177" w:rsidP="00A75177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Content"/>
            <w:bookmarkEnd w:id="0"/>
            <w:bookmarkEnd w:id="1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各盟市人力资源和社会保障局，自治区各委、办、厅、局人事处，各直属企事业单位人事部门：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为更好贯彻落实创新驱动发展战略和人才优先发展战略，推进人才结构战略性调整，进一步加强高层次创新型专业技术人才队伍建设，按照《国家百千万人才工程实施方案》和人力资源社会保障部办公厅《关于开展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年百千万人才工程国家级人选选拔工作的通知》（</w:t>
            </w:r>
            <w:proofErr w:type="gramStart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人社厅函</w:t>
            </w:r>
            <w:proofErr w:type="gramEnd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〔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42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号）要求，在全区范围内开展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年百千万人才工程国家级人选遴选推荐工作。现就有关事项通知如下：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一、遴选推荐重点</w:t>
            </w:r>
            <w:r w:rsidRPr="00A7517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遴选推荐工作要紧紧围绕国家重大战略、重大科技项目、重大工程，进一步聚焦高精尖缺人才：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（一）要对本部门、本地区重点发展领域、有可能产生重大成果的科研团队和产业化项目进行深入调研，明确选拔重点。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（二）高等院校、科研院所等高层次人才密集单位要重点关注学术技术重大原始创新，重点从基础科学研究、尖端技术方面我国具有比较优势，有望取得重大突破的领域推荐人选；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（三）要进一步拓宽选拔渠道，努力发现体制外优秀人才，把产业创新人才特别是非公领域人才纳入视野，重点面向机器人技术、人工智能、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3D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打印、物联网等</w:t>
            </w:r>
            <w:proofErr w:type="gramStart"/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近年科技</w:t>
            </w:r>
            <w:proofErr w:type="gramEnd"/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发展热点领域和民族特色优势产业，面向高新区、创业园等产业化创新人才集聚的科技园区，面向具有发展潜力的高新技术企业，联系掌握推荐一批人才，明显提高产业创新人才推荐比例；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（四）要结合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一带一路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中国制造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2025”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互联网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+”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等国家重大发展战略，重点关注在核心技术开发、关键工程项目、成果转化推广、国际市场竞争等环节中发挥重要作用的创新人才和团队；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（五）对有潜力的中青年领军人才，要努力支持、积极推荐。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32"/>
              </w:rPr>
              <w:t>二、遴选推荐人选条件</w:t>
            </w:r>
            <w:r w:rsidRPr="00A7517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推荐人选应热爱祖国，遵纪守法，坚持科学精神，恪守职业道德，潜心一线科研工作，具有副高级以上专业技术职称，年龄在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50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岁以下（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1967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日以后出生），并具备以下条件之一：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（一）学术技术水平处于国内领先地位，具有创新思维，能够引领原创性重大理论与实践问题的研究和关键领域攻关。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（二）潜心基础研究，揭示自然规律和社会发展规律，能够提供新知识、新原理、新方法，促进理论原始创新，对学科发展具有重要推动作用。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lastRenderedPageBreak/>
              <w:t>（三）具有承担重大基础研究课题、重点科研任务等经历，具有良好的沟通协调能力和组织管理能力，能有效组织并领导创新团队攻克学术技术难关。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（四）拥有核心技术或自主知识产权，具有良好的市场意识和国际视野，有效组织团队开展技术含量高、关联度大、支撑引领作用较强的产业创新项目，在推进产业关键技术创新和科技成果转化中做出积极贡献，取得良好经济和社会效益。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200" w:firstLine="64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黑体" w:hAnsi="Times New Roman" w:cs="宋体" w:hint="eastAsia"/>
                <w:color w:val="000000"/>
                <w:kern w:val="0"/>
                <w:sz w:val="32"/>
                <w:szCs w:val="32"/>
              </w:rPr>
              <w:t>三、遴选推荐数量和程序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（一）遴选推荐数量和要求：按照人力资源社会保障部有关要求，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年百千万人才工程我区选拔推荐名额共有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名。为提高工作效率，各盟市推荐人选不能超出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人，自治区直属厅局及企事业单位推荐人选不能超出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人。推荐人选时要严格把关、控制数量，保证候选人质量。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（二）遴选推荐程序：选拔推荐采取自下而上、逐级审核、专家评审的方式进行。一是基层推荐人选。由基层单位按照隶属关系逐级向上级人力资源社会保障（人事、干部）部门推荐人选，其中非公有制单位中符合条件的人选，向所属地方人力资源社会保障部门申报；二是盟市（厅局）提出意见。各盟市人力资源社会保障部门以及自治区直属厅局、企事业单位按照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公开、平等、竞争、择优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原则，提出推荐人选后报送自治区人力资源社会保障</w:t>
            </w:r>
            <w:proofErr w:type="gramStart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厅专业</w:t>
            </w:r>
            <w:proofErr w:type="gramEnd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技术人员管理处；三是组织专家评审。自治区人力资源社会保障厅组织专家评审，按照推荐指标控制</w:t>
            </w:r>
            <w:proofErr w:type="gramStart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数提出</w:t>
            </w:r>
            <w:proofErr w:type="gramEnd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推荐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lastRenderedPageBreak/>
              <w:t>人选名单，形成一致意见后报送人力资源社会保障部。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黑体" w:hAnsi="Times New Roman" w:cs="宋体" w:hint="eastAsia"/>
                <w:color w:val="000000"/>
                <w:kern w:val="0"/>
                <w:sz w:val="32"/>
                <w:szCs w:val="32"/>
              </w:rPr>
              <w:t>四、报送材料要求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请各盟市、各有关单位严格按照时限要求，于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日前将推荐人选以下材料统一报送自治区人力资源社会保障</w:t>
            </w:r>
            <w:proofErr w:type="gramStart"/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厅专业</w:t>
            </w:r>
            <w:proofErr w:type="gramEnd"/>
            <w:r w:rsidRPr="00A75177"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</w:rPr>
              <w:t>技术人员管理处，逾期未报视为放弃。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150" w:firstLine="482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Calibri" w:eastAsia="楷体_GB2312" w:hAnsi="Calibri" w:cs="宋体" w:hint="eastAsia"/>
                <w:b/>
                <w:color w:val="000000"/>
                <w:kern w:val="0"/>
                <w:sz w:val="32"/>
                <w:szCs w:val="32"/>
              </w:rPr>
              <w:t>（一）书面材料：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645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1.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推荐报告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份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说明人选推荐选拔情况，请注明联系单位、联系人、办公电话、手机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;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645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相关表格（由百千万人才工程个人信息采集工具生成）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一是推荐人选情况汇总表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式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份，二是推荐人选个人登记表每名推荐人选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份；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6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3.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佐证材料的复印件各一份（请装订成册）；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Chars="150" w:firstLine="482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Calibri" w:eastAsia="楷体_GB2312" w:hAnsi="Calibri" w:cs="宋体" w:hint="eastAsia"/>
                <w:b/>
                <w:color w:val="000000"/>
                <w:kern w:val="0"/>
                <w:sz w:val="32"/>
                <w:szCs w:val="32"/>
              </w:rPr>
              <w:t>（二）电子材料：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645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由百千万人才工程个人信息采集工具生成的电子数据。（刻录光盘）。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6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2017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年百千万人才工程推荐人选电子数据文件，由百千万人才个人信息采集工具生成，文件后缀名为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“·RPU”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（需登录东方</w:t>
            </w:r>
            <w:proofErr w:type="gramStart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智辰网</w:t>
            </w:r>
            <w:proofErr w:type="gramEnd"/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fldChar w:fldCharType="begin"/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instrText xml:space="preserve"> HYPERLINK "http://www.zhichen.com.cn/" </w:instrTex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fldChar w:fldCharType="separate"/>
            </w:r>
            <w:r w:rsidRPr="00A75177">
              <w:rPr>
                <w:rFonts w:ascii="Times New Roman" w:eastAsia="仿宋" w:hAnsi="Times New Roman" w:cs="Times New Roman"/>
                <w:color w:val="0000FF"/>
                <w:kern w:val="0"/>
                <w:sz w:val="32"/>
                <w:szCs w:val="32"/>
              </w:rPr>
              <w:t>www.zhichen.com.cn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fldChar w:fldCharType="end"/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，选择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下载中心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，进入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下载中心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页面后点击左侧的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“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人力资源和社会保障部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，在右侧软件列表中下载安装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人社部百千万人才工程信息采集工具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，进入采集工具软件中录入个人信息后点击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生成报送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生成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·RPU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文件）。</w:t>
            </w:r>
          </w:p>
          <w:p w:rsidR="00A75177" w:rsidRPr="00A75177" w:rsidRDefault="00A75177" w:rsidP="00A75177">
            <w:pPr>
              <w:widowControl/>
              <w:spacing w:line="560" w:lineRule="exact"/>
              <w:ind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各盟市、各有关单位要组织指导申报人如实填写申报</w:t>
            </w:r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lastRenderedPageBreak/>
              <w:t>材料，对材料真实性严格把关，核查确认人选相关证书、获奖、论文等证明材料。确保书面材料和电子数据真实一致涉密推荐材料需</w:t>
            </w:r>
            <w:proofErr w:type="gramStart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进行脱密处理</w:t>
            </w:r>
            <w:proofErr w:type="gramEnd"/>
            <w:r w:rsidRPr="00A75177">
              <w:rPr>
                <w:rFonts w:ascii="Times New Roman" w:eastAsia="仿宋" w:hAnsi="Times New Roman" w:cs="宋体" w:hint="eastAsia"/>
                <w:color w:val="000000"/>
                <w:kern w:val="0"/>
                <w:sz w:val="32"/>
                <w:szCs w:val="32"/>
              </w:rPr>
              <w:t>。对于申报材料弄虚作假或电子数据与书面材料不一致的，一经发现立即取消推荐人选资格并严肃处理。</w:t>
            </w:r>
            <w:r w:rsidRPr="00A75177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A75177" w:rsidRPr="00A75177" w:rsidRDefault="00A75177" w:rsidP="00805D6A">
            <w:pPr>
              <w:widowControl/>
              <w:spacing w:line="360" w:lineRule="auto"/>
              <w:ind w:firstLineChars="1468" w:firstLine="352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4D4443" w:rsidRDefault="004D4443"/>
    <w:sectPr w:rsidR="004D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87" w:rsidRDefault="00506887" w:rsidP="00713EBE">
      <w:r>
        <w:separator/>
      </w:r>
    </w:p>
  </w:endnote>
  <w:endnote w:type="continuationSeparator" w:id="0">
    <w:p w:rsidR="00506887" w:rsidRDefault="00506887" w:rsidP="007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87" w:rsidRDefault="00506887" w:rsidP="00713EBE">
      <w:r>
        <w:separator/>
      </w:r>
    </w:p>
  </w:footnote>
  <w:footnote w:type="continuationSeparator" w:id="0">
    <w:p w:rsidR="00506887" w:rsidRDefault="00506887" w:rsidP="0071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3E"/>
    <w:rsid w:val="004D4443"/>
    <w:rsid w:val="00506887"/>
    <w:rsid w:val="00713EBE"/>
    <w:rsid w:val="0077433E"/>
    <w:rsid w:val="00805D6A"/>
    <w:rsid w:val="00A75177"/>
    <w:rsid w:val="00A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177"/>
    <w:rPr>
      <w:strike w:val="0"/>
      <w:dstrike w:val="0"/>
      <w:color w:val="0055AA"/>
      <w:u w:val="none"/>
      <w:effect w:val="none"/>
    </w:rPr>
  </w:style>
  <w:style w:type="paragraph" w:customStyle="1" w:styleId="customunionstyle">
    <w:name w:val="customunionstyle"/>
    <w:basedOn w:val="a"/>
    <w:rsid w:val="00A751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E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E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177"/>
    <w:rPr>
      <w:strike w:val="0"/>
      <w:dstrike w:val="0"/>
      <w:color w:val="0055AA"/>
      <w:u w:val="none"/>
      <w:effect w:val="none"/>
    </w:rPr>
  </w:style>
  <w:style w:type="paragraph" w:customStyle="1" w:styleId="customunionstyle">
    <w:name w:val="customunionstyle"/>
    <w:basedOn w:val="a"/>
    <w:rsid w:val="00A751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E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</dc:creator>
  <cp:keywords/>
  <dc:description/>
  <cp:lastModifiedBy>718</cp:lastModifiedBy>
  <cp:revision>5</cp:revision>
  <dcterms:created xsi:type="dcterms:W3CDTF">2017-03-28T01:17:00Z</dcterms:created>
  <dcterms:modified xsi:type="dcterms:W3CDTF">2017-03-28T02:52:00Z</dcterms:modified>
</cp:coreProperties>
</file>